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04741" w14:textId="65C44185" w:rsidR="00D10AAC" w:rsidRDefault="00D10AAC">
      <w:r>
        <w:rPr>
          <w:noProof/>
        </w:rPr>
        <w:drawing>
          <wp:anchor distT="0" distB="0" distL="114300" distR="114300" simplePos="0" relativeHeight="251659264" behindDoc="0" locked="0" layoutInCell="1" allowOverlap="1" wp14:anchorId="462E3187" wp14:editId="34844085">
            <wp:simplePos x="0" y="0"/>
            <wp:positionH relativeFrom="margin">
              <wp:align>center</wp:align>
            </wp:positionH>
            <wp:positionV relativeFrom="paragraph">
              <wp:posOffset>7691</wp:posOffset>
            </wp:positionV>
            <wp:extent cx="6120129" cy="685165"/>
            <wp:effectExtent l="0" t="0" r="0" b="635"/>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20129" cy="685165"/>
                    </a:xfrm>
                    <a:prstGeom prst="rect">
                      <a:avLst/>
                    </a:prstGeom>
                    <a:noFill/>
                  </pic:spPr>
                </pic:pic>
              </a:graphicData>
            </a:graphic>
          </wp:anchor>
        </w:drawing>
      </w:r>
    </w:p>
    <w:p w14:paraId="757D1973" w14:textId="6FBCCA84" w:rsidR="00D10AAC" w:rsidRDefault="00D10AAC"/>
    <w:p w14:paraId="4BE9E702" w14:textId="5E0E4D9C" w:rsidR="00FA09A9" w:rsidRDefault="00FA09A9"/>
    <w:p w14:paraId="1500F444" w14:textId="77777777" w:rsidR="007D372F" w:rsidRDefault="007D372F" w:rsidP="007D372F">
      <w:pPr>
        <w:jc w:val="center"/>
        <w:rPr>
          <w:rFonts w:ascii="Century Gothic" w:hAnsi="Century Gothic"/>
        </w:rPr>
      </w:pPr>
    </w:p>
    <w:p w14:paraId="4ECAC3F1" w14:textId="60124806" w:rsidR="28AAAD2D" w:rsidRDefault="28AAAD2D" w:rsidP="4D380E5B">
      <w:pPr>
        <w:tabs>
          <w:tab w:val="left" w:pos="9880"/>
        </w:tabs>
        <w:spacing w:before="19" w:after="0" w:line="240" w:lineRule="auto"/>
        <w:ind w:left="10" w:right="-43" w:hanging="10"/>
        <w:jc w:val="center"/>
        <w:rPr>
          <w:rFonts w:ascii="Century Gothic" w:eastAsia="Century Gothic" w:hAnsi="Century Gothic" w:cs="Century Gothic"/>
          <w:color w:val="000000" w:themeColor="text1"/>
        </w:rPr>
      </w:pPr>
      <w:r w:rsidRPr="4D380E5B">
        <w:rPr>
          <w:rFonts w:ascii="Century Gothic" w:eastAsia="Century Gothic" w:hAnsi="Century Gothic" w:cs="Century Gothic"/>
          <w:b/>
          <w:bCs/>
          <w:color w:val="000000" w:themeColor="text1"/>
        </w:rPr>
        <w:t>Programma Regionale Lombardia - Fondo Sociale Europeo Plus 2021-2027</w:t>
      </w:r>
    </w:p>
    <w:p w14:paraId="104B2C27" w14:textId="31D478F6" w:rsidR="28AAAD2D" w:rsidRDefault="28AAAD2D" w:rsidP="4D380E5B">
      <w:pPr>
        <w:tabs>
          <w:tab w:val="left" w:pos="9880"/>
        </w:tabs>
        <w:spacing w:before="19" w:after="0" w:line="240" w:lineRule="auto"/>
        <w:ind w:left="10" w:right="-43" w:hanging="10"/>
        <w:jc w:val="center"/>
        <w:rPr>
          <w:rFonts w:ascii="Century Gothic" w:eastAsia="Century Gothic" w:hAnsi="Century Gothic" w:cs="Century Gothic"/>
          <w:color w:val="000000" w:themeColor="text1"/>
        </w:rPr>
      </w:pPr>
      <w:r w:rsidRPr="4D380E5B">
        <w:rPr>
          <w:rFonts w:ascii="Century Gothic" w:eastAsia="Century Gothic" w:hAnsi="Century Gothic" w:cs="Century Gothic"/>
          <w:b/>
          <w:bCs/>
          <w:color w:val="000000" w:themeColor="text1"/>
        </w:rPr>
        <w:t>(</w:t>
      </w:r>
      <w:r w:rsidRPr="4D380E5B">
        <w:rPr>
          <w:rFonts w:ascii="Century Gothic" w:eastAsia="Century Gothic" w:hAnsi="Century Gothic" w:cs="Century Gothic"/>
          <w:b/>
          <w:bCs/>
          <w:i/>
          <w:iCs/>
          <w:color w:val="000000" w:themeColor="text1"/>
        </w:rPr>
        <w:t>Priorità 4</w:t>
      </w:r>
      <w:r w:rsidRPr="4D380E5B">
        <w:rPr>
          <w:rFonts w:ascii="Century Gothic" w:eastAsia="Century Gothic" w:hAnsi="Century Gothic" w:cs="Century Gothic"/>
          <w:b/>
          <w:bCs/>
          <w:color w:val="000000" w:themeColor="text1"/>
        </w:rPr>
        <w:t xml:space="preserve"> - </w:t>
      </w:r>
      <w:r w:rsidRPr="4D380E5B">
        <w:rPr>
          <w:rFonts w:ascii="Century Gothic" w:eastAsia="Century Gothic" w:hAnsi="Century Gothic" w:cs="Century Gothic"/>
          <w:b/>
          <w:bCs/>
          <w:i/>
          <w:iCs/>
          <w:color w:val="000000" w:themeColor="text1"/>
        </w:rPr>
        <w:t>Obiettivo specifico ESO 4.1 -</w:t>
      </w:r>
      <w:r w:rsidRPr="4D380E5B">
        <w:rPr>
          <w:rFonts w:ascii="Century Gothic" w:eastAsia="Century Gothic" w:hAnsi="Century Gothic" w:cs="Century Gothic"/>
          <w:b/>
          <w:bCs/>
          <w:color w:val="000000" w:themeColor="text1"/>
        </w:rPr>
        <w:t>Azione a.4.)</w:t>
      </w:r>
    </w:p>
    <w:p w14:paraId="652B4ACD" w14:textId="0B63B3FB" w:rsidR="4D380E5B" w:rsidRDefault="4D380E5B" w:rsidP="4D380E5B">
      <w:pPr>
        <w:tabs>
          <w:tab w:val="left" w:pos="9880"/>
        </w:tabs>
        <w:spacing w:before="19" w:after="0" w:line="240" w:lineRule="auto"/>
        <w:ind w:left="10" w:right="-43" w:hanging="10"/>
        <w:jc w:val="center"/>
        <w:rPr>
          <w:rFonts w:ascii="Century Gothic" w:eastAsia="Century Gothic" w:hAnsi="Century Gothic" w:cs="Century Gothic"/>
          <w:color w:val="000000" w:themeColor="text1"/>
        </w:rPr>
      </w:pPr>
    </w:p>
    <w:p w14:paraId="50E5FB91" w14:textId="72D33AF3" w:rsidR="00DB4F60" w:rsidRPr="00755474" w:rsidRDefault="00755474" w:rsidP="27FA9D93">
      <w:pPr>
        <w:spacing w:after="120" w:line="276" w:lineRule="auto"/>
        <w:ind w:left="10" w:right="505" w:hanging="10"/>
        <w:jc w:val="center"/>
        <w:rPr>
          <w:rFonts w:ascii="Century Gothic" w:eastAsia="Century Gothic" w:hAnsi="Century Gothic" w:cs="Century Gothic"/>
          <w:color w:val="000000" w:themeColor="text1"/>
        </w:rPr>
      </w:pPr>
      <w:r>
        <w:rPr>
          <w:rStyle w:val="Carpredefinitoparagrafo1"/>
          <w:rFonts w:ascii="Century Gothic" w:eastAsia="Century Gothic" w:hAnsi="Century Gothic" w:cs="Century Gothic"/>
          <w:b/>
          <w:bCs/>
          <w:color w:val="000000" w:themeColor="text1"/>
        </w:rPr>
        <w:t>BANDO</w:t>
      </w:r>
      <w:r w:rsidR="3457CD58" w:rsidRPr="00755474">
        <w:rPr>
          <w:rStyle w:val="Carpredefinitoparagrafo1"/>
          <w:rFonts w:ascii="Century Gothic" w:eastAsia="Century Gothic" w:hAnsi="Century Gothic" w:cs="Century Gothic"/>
          <w:b/>
          <w:bCs/>
          <w:color w:val="000000" w:themeColor="text1"/>
        </w:rPr>
        <w:t xml:space="preserve"> PUBBLICO PER IL FINANZIAMENTO DI INTERVENTI INTEGRATI DI RIATTIVAZIONE </w:t>
      </w:r>
      <w:r w:rsidR="3457CD58" w:rsidRPr="00755474">
        <w:rPr>
          <w:rFonts w:ascii="Century Gothic" w:eastAsia="Century Gothic" w:hAnsi="Century Gothic" w:cs="Century Gothic"/>
          <w:b/>
          <w:bCs/>
          <w:color w:val="000000" w:themeColor="text1"/>
        </w:rPr>
        <w:t>E INSERIMENTO LAVORATIVO DEI GIOVANI NEET</w:t>
      </w:r>
    </w:p>
    <w:p w14:paraId="3F665A94" w14:textId="25CD96F8" w:rsidR="007005C5" w:rsidRDefault="007005C5" w:rsidP="27FA9D93">
      <w:pPr>
        <w:spacing w:after="120" w:line="276" w:lineRule="auto"/>
        <w:ind w:left="10" w:right="505" w:hanging="10"/>
        <w:jc w:val="center"/>
        <w:rPr>
          <w:rStyle w:val="Carpredefinitoparagrafo1"/>
          <w:rFonts w:ascii="Century Gothic" w:eastAsia="Century Gothic" w:hAnsi="Century Gothic" w:cs="Century Gothic"/>
          <w:b/>
          <w:bCs/>
          <w:color w:val="000000" w:themeColor="text1"/>
        </w:rPr>
      </w:pPr>
      <w:r w:rsidRPr="007005C5">
        <w:rPr>
          <w:rStyle w:val="Carpredefinitoparagrafo1"/>
          <w:rFonts w:ascii="Century Gothic" w:eastAsia="Century Gothic" w:hAnsi="Century Gothic" w:cs="Century Gothic"/>
          <w:b/>
          <w:bCs/>
          <w:color w:val="000000" w:themeColor="text1"/>
        </w:rPr>
        <w:t>ZERONEET – RETI DI OPPORTUNITÀ PER L’INSERIMENTO OCCUPAZIONALE E LE COMPETENZE</w:t>
      </w:r>
    </w:p>
    <w:p w14:paraId="0AE96BC4" w14:textId="76C00400" w:rsidR="00DB4F60" w:rsidRDefault="3457CD58" w:rsidP="27FA9D93">
      <w:pPr>
        <w:spacing w:after="120" w:line="276" w:lineRule="auto"/>
        <w:ind w:left="10" w:right="505" w:hanging="10"/>
        <w:jc w:val="center"/>
        <w:rPr>
          <w:rFonts w:ascii="Century Gothic" w:hAnsi="Century Gothic"/>
          <w:b/>
          <w:bCs/>
        </w:rPr>
      </w:pPr>
      <w:r w:rsidRPr="27FA9D93">
        <w:rPr>
          <w:rStyle w:val="Carpredefinitoparagrafo1"/>
          <w:rFonts w:ascii="Century Gothic" w:eastAsia="Century Gothic" w:hAnsi="Century Gothic" w:cs="Century Gothic"/>
          <w:b/>
          <w:bCs/>
          <w:color w:val="000000" w:themeColor="text1"/>
        </w:rPr>
        <w:t>DDUO n. …… del………</w:t>
      </w:r>
      <w:r w:rsidR="00DB4F60" w:rsidRPr="27FA9D93">
        <w:rPr>
          <w:rFonts w:ascii="Century Gothic" w:hAnsi="Century Gothic"/>
          <w:b/>
          <w:bCs/>
        </w:rPr>
        <w:t xml:space="preserve"> </w:t>
      </w:r>
    </w:p>
    <w:p w14:paraId="756D4EB4" w14:textId="77777777" w:rsidR="00DB4F60" w:rsidRDefault="00DB4F60" w:rsidP="007D372F">
      <w:pPr>
        <w:jc w:val="center"/>
        <w:rPr>
          <w:rFonts w:ascii="Century Gothic" w:hAnsi="Century Gothic"/>
          <w:b/>
          <w:bCs/>
        </w:rPr>
      </w:pPr>
    </w:p>
    <w:p w14:paraId="033BE63F" w14:textId="4EF1B8A6" w:rsidR="006B1F55" w:rsidRPr="00DB33AA" w:rsidRDefault="00696002" w:rsidP="007D372F">
      <w:pPr>
        <w:jc w:val="center"/>
        <w:rPr>
          <w:rFonts w:ascii="Century Gothic" w:hAnsi="Century Gothic"/>
          <w:b/>
          <w:bCs/>
          <w:sz w:val="28"/>
          <w:szCs w:val="28"/>
        </w:rPr>
      </w:pPr>
      <w:r>
        <w:rPr>
          <w:rFonts w:ascii="Century Gothic" w:hAnsi="Century Gothic"/>
          <w:b/>
          <w:bCs/>
          <w:sz w:val="28"/>
          <w:szCs w:val="28"/>
        </w:rPr>
        <w:t>NOTA COMPILAZIONE DEL PIANO DEI CONTI</w:t>
      </w:r>
    </w:p>
    <w:p w14:paraId="6A8BCA9C" w14:textId="77777777" w:rsidR="00B428D5" w:rsidRDefault="00B428D5" w:rsidP="00CB3213">
      <w:pPr>
        <w:tabs>
          <w:tab w:val="left" w:pos="9880"/>
        </w:tabs>
        <w:spacing w:before="19" w:after="0" w:line="240" w:lineRule="auto"/>
        <w:ind w:right="-43"/>
        <w:jc w:val="center"/>
        <w:rPr>
          <w:rFonts w:ascii="Century Gothic" w:eastAsia="Century Gothic" w:hAnsi="Century Gothic" w:cs="Century Gothic"/>
          <w:b/>
          <w:bCs/>
          <w:i/>
          <w:iCs/>
          <w:spacing w:val="-2"/>
        </w:rPr>
      </w:pPr>
    </w:p>
    <w:p w14:paraId="6B0DF0A5" w14:textId="77777777" w:rsidR="00B428D5" w:rsidRDefault="00B428D5" w:rsidP="00CB3213">
      <w:pPr>
        <w:tabs>
          <w:tab w:val="left" w:pos="9880"/>
        </w:tabs>
        <w:spacing w:before="19" w:after="0" w:line="240" w:lineRule="auto"/>
        <w:ind w:right="-43"/>
        <w:jc w:val="center"/>
        <w:rPr>
          <w:rFonts w:ascii="Century Gothic" w:eastAsia="Century Gothic" w:hAnsi="Century Gothic" w:cs="Century Gothic"/>
          <w:b/>
          <w:bCs/>
          <w:i/>
          <w:iCs/>
          <w:spacing w:val="-2"/>
        </w:rPr>
      </w:pPr>
    </w:p>
    <w:p w14:paraId="78A70938" w14:textId="77777777" w:rsidR="00B428D5" w:rsidRDefault="00B428D5" w:rsidP="00CB3213">
      <w:pPr>
        <w:tabs>
          <w:tab w:val="left" w:pos="9880"/>
        </w:tabs>
        <w:spacing w:before="19" w:after="0" w:line="240" w:lineRule="auto"/>
        <w:ind w:right="-43"/>
        <w:jc w:val="center"/>
        <w:rPr>
          <w:rFonts w:ascii="Century Gothic" w:eastAsia="Century Gothic" w:hAnsi="Century Gothic" w:cs="Century Gothic"/>
          <w:b/>
          <w:bCs/>
          <w:i/>
          <w:iCs/>
          <w:spacing w:val="-2"/>
        </w:rPr>
      </w:pPr>
    </w:p>
    <w:p w14:paraId="605F6AA4" w14:textId="77777777" w:rsidR="00B428D5" w:rsidRDefault="00B428D5" w:rsidP="00CB3213">
      <w:pPr>
        <w:tabs>
          <w:tab w:val="left" w:pos="9880"/>
        </w:tabs>
        <w:spacing w:before="19" w:after="0" w:line="240" w:lineRule="auto"/>
        <w:ind w:right="-43"/>
        <w:jc w:val="center"/>
        <w:rPr>
          <w:rFonts w:ascii="Century Gothic" w:eastAsia="Century Gothic" w:hAnsi="Century Gothic" w:cs="Century Gothic"/>
          <w:b/>
          <w:bCs/>
          <w:i/>
          <w:iCs/>
          <w:spacing w:val="-2"/>
        </w:rPr>
      </w:pPr>
    </w:p>
    <w:p w14:paraId="388B47FC" w14:textId="77777777" w:rsidR="00B428D5" w:rsidRDefault="00B428D5" w:rsidP="00CB3213">
      <w:pPr>
        <w:tabs>
          <w:tab w:val="left" w:pos="9880"/>
        </w:tabs>
        <w:spacing w:before="19" w:after="0" w:line="240" w:lineRule="auto"/>
        <w:ind w:right="-43"/>
        <w:jc w:val="center"/>
        <w:rPr>
          <w:rFonts w:ascii="Century Gothic" w:eastAsia="Century Gothic" w:hAnsi="Century Gothic" w:cs="Century Gothic"/>
          <w:b/>
          <w:bCs/>
          <w:i/>
          <w:iCs/>
          <w:spacing w:val="-2"/>
        </w:rPr>
      </w:pPr>
    </w:p>
    <w:p w14:paraId="715E815E" w14:textId="77777777" w:rsidR="00CB3213" w:rsidRPr="00DB4F60" w:rsidRDefault="00CB3213" w:rsidP="007D372F">
      <w:pPr>
        <w:jc w:val="center"/>
        <w:rPr>
          <w:rFonts w:ascii="Century Gothic" w:hAnsi="Century Gothic"/>
          <w:b/>
          <w:bCs/>
          <w:sz w:val="24"/>
          <w:szCs w:val="24"/>
        </w:rPr>
      </w:pPr>
    </w:p>
    <w:p w14:paraId="67178F75" w14:textId="77777777" w:rsidR="006B1F55" w:rsidRDefault="006B1F55" w:rsidP="007D372F">
      <w:pPr>
        <w:jc w:val="center"/>
        <w:rPr>
          <w:rFonts w:ascii="Century Gothic" w:hAnsi="Century Gothic"/>
          <w:b/>
          <w:bCs/>
        </w:rPr>
      </w:pPr>
    </w:p>
    <w:p w14:paraId="0B88A5EF" w14:textId="77777777" w:rsidR="00687EA4" w:rsidRDefault="00687EA4" w:rsidP="007D372F">
      <w:pPr>
        <w:jc w:val="center"/>
        <w:rPr>
          <w:rFonts w:ascii="Century Gothic" w:hAnsi="Century Gothic"/>
          <w:b/>
          <w:bCs/>
        </w:rPr>
      </w:pPr>
    </w:p>
    <w:p w14:paraId="398D869A" w14:textId="77777777" w:rsidR="00687EA4" w:rsidRDefault="00687EA4" w:rsidP="007D372F">
      <w:pPr>
        <w:jc w:val="center"/>
        <w:rPr>
          <w:rFonts w:ascii="Century Gothic" w:hAnsi="Century Gothic"/>
          <w:b/>
          <w:bCs/>
        </w:rPr>
      </w:pPr>
    </w:p>
    <w:p w14:paraId="73F08E7D" w14:textId="77777777" w:rsidR="00687EA4" w:rsidRDefault="00687EA4" w:rsidP="007D372F">
      <w:pPr>
        <w:jc w:val="center"/>
        <w:rPr>
          <w:rFonts w:ascii="Century Gothic" w:hAnsi="Century Gothic"/>
          <w:b/>
          <w:bCs/>
        </w:rPr>
      </w:pPr>
    </w:p>
    <w:p w14:paraId="3C6AF9A5" w14:textId="77777777" w:rsidR="00687EA4" w:rsidRDefault="00687EA4" w:rsidP="007D372F">
      <w:pPr>
        <w:jc w:val="center"/>
        <w:rPr>
          <w:rFonts w:ascii="Century Gothic" w:hAnsi="Century Gothic"/>
          <w:b/>
          <w:bCs/>
        </w:rPr>
      </w:pPr>
    </w:p>
    <w:p w14:paraId="3B3F404C" w14:textId="77777777" w:rsidR="00687EA4" w:rsidRDefault="00687EA4" w:rsidP="007D372F">
      <w:pPr>
        <w:jc w:val="center"/>
        <w:rPr>
          <w:rFonts w:ascii="Century Gothic" w:hAnsi="Century Gothic"/>
          <w:b/>
          <w:bCs/>
        </w:rPr>
      </w:pPr>
    </w:p>
    <w:p w14:paraId="008D915A" w14:textId="77777777" w:rsidR="00687EA4" w:rsidRDefault="00687EA4" w:rsidP="007D372F">
      <w:pPr>
        <w:jc w:val="center"/>
        <w:rPr>
          <w:rFonts w:ascii="Century Gothic" w:hAnsi="Century Gothic"/>
          <w:b/>
          <w:bCs/>
        </w:rPr>
      </w:pPr>
    </w:p>
    <w:p w14:paraId="125AD9FE" w14:textId="77B57984" w:rsidR="00687EA4" w:rsidRDefault="00687EA4">
      <w:pPr>
        <w:rPr>
          <w:rFonts w:ascii="Century Gothic" w:hAnsi="Century Gothic"/>
          <w:b/>
          <w:bCs/>
        </w:rPr>
      </w:pPr>
      <w:r>
        <w:rPr>
          <w:rFonts w:ascii="Century Gothic" w:hAnsi="Century Gothic"/>
          <w:b/>
          <w:bCs/>
        </w:rPr>
        <w:br w:type="page"/>
      </w:r>
    </w:p>
    <w:p w14:paraId="3A6CC5EF" w14:textId="6E35B309" w:rsidR="00687EA4" w:rsidRPr="00755474" w:rsidRDefault="00603FB6" w:rsidP="007D372F">
      <w:pPr>
        <w:jc w:val="center"/>
        <w:rPr>
          <w:rFonts w:ascii="Century Gothic" w:hAnsi="Century Gothic"/>
          <w:b/>
          <w:bCs/>
        </w:rPr>
      </w:pPr>
      <w:r w:rsidRPr="00755474">
        <w:rPr>
          <w:rFonts w:ascii="Century Gothic" w:hAnsi="Century Gothic"/>
          <w:b/>
          <w:bCs/>
        </w:rPr>
        <w:lastRenderedPageBreak/>
        <w:t>PIANO DEI CONTI</w:t>
      </w:r>
    </w:p>
    <w:p w14:paraId="043A0DBA" w14:textId="77777777" w:rsidR="00F72892" w:rsidRPr="00755474" w:rsidRDefault="00F72892" w:rsidP="00F72892">
      <w:pPr>
        <w:jc w:val="both"/>
        <w:rPr>
          <w:rFonts w:ascii="Century Gothic" w:hAnsi="Century Gothic" w:cstheme="minorHAnsi"/>
          <w:sz w:val="24"/>
          <w:szCs w:val="24"/>
        </w:rPr>
      </w:pPr>
      <w:r w:rsidRPr="00755474">
        <w:rPr>
          <w:rFonts w:ascii="Century Gothic" w:hAnsi="Century Gothic" w:cstheme="minorHAnsi"/>
          <w:sz w:val="24"/>
          <w:szCs w:val="24"/>
        </w:rPr>
        <w:t>Il presente allegato fornisce le indicazioni operative per la corretta compilazione del Piano dei Conti A.6b, documento fondamentale per la presentazione dell'istanza di finanziamento del progetto.</w:t>
      </w:r>
    </w:p>
    <w:p w14:paraId="6721ED15" w14:textId="142C380C" w:rsidR="00603FB6" w:rsidRPr="00755474" w:rsidRDefault="00755474" w:rsidP="00603FB6">
      <w:pPr>
        <w:jc w:val="both"/>
        <w:rPr>
          <w:rFonts w:ascii="Century Gothic" w:hAnsi="Century Gothic" w:cstheme="minorHAnsi"/>
          <w:sz w:val="24"/>
          <w:szCs w:val="24"/>
        </w:rPr>
      </w:pPr>
      <w:r>
        <w:rPr>
          <w:rFonts w:ascii="Century Gothic" w:hAnsi="Century Gothic" w:cstheme="minorHAnsi"/>
          <w:sz w:val="24"/>
          <w:szCs w:val="24"/>
        </w:rPr>
        <w:t>Il bando</w:t>
      </w:r>
      <w:r w:rsidR="00603FB6" w:rsidRPr="00755474">
        <w:rPr>
          <w:rFonts w:ascii="Century Gothic" w:hAnsi="Century Gothic" w:cstheme="minorHAnsi"/>
          <w:sz w:val="24"/>
          <w:szCs w:val="24"/>
        </w:rPr>
        <w:t xml:space="preserve"> prevede l’applicazione dell’opzione di semplificazione dei costi di cui all’art. 56 del Reg. (UE) 2021/1060 attraverso l’utilizzo del tasso forfettario del 40% dei costi diretti ammissibili per il personale per coprire i costi residui dell’operazione. Il Piano dei conti viene predisposto dai proponenti attraverso la determinazione dell’ammontare delle spese relative al costo del personale e alle indennità versate ai partecipanti per </w:t>
      </w:r>
      <w:r w:rsidR="00690CA3" w:rsidRPr="00755474">
        <w:rPr>
          <w:rFonts w:ascii="Century Gothic" w:hAnsi="Century Gothic" w:cstheme="minorHAnsi"/>
          <w:sz w:val="24"/>
          <w:szCs w:val="24"/>
        </w:rPr>
        <w:t>la formazione</w:t>
      </w:r>
      <w:r w:rsidR="00603FB6" w:rsidRPr="00755474">
        <w:rPr>
          <w:rFonts w:ascii="Century Gothic" w:hAnsi="Century Gothic" w:cstheme="minorHAnsi"/>
          <w:sz w:val="24"/>
          <w:szCs w:val="24"/>
        </w:rPr>
        <w:t>. Le spese relative a tutti i restanti costi diretti ammissibili (ad esempio per l’acquisto</w:t>
      </w:r>
      <w:r w:rsidR="00707E9D" w:rsidRPr="00755474">
        <w:rPr>
          <w:rFonts w:ascii="Century Gothic" w:hAnsi="Century Gothic" w:cstheme="minorHAnsi"/>
          <w:sz w:val="24"/>
          <w:szCs w:val="24"/>
        </w:rPr>
        <w:t xml:space="preserve"> di</w:t>
      </w:r>
      <w:r w:rsidR="00603FB6" w:rsidRPr="00755474">
        <w:rPr>
          <w:rFonts w:ascii="Century Gothic" w:hAnsi="Century Gothic" w:cstheme="minorHAnsi"/>
          <w:sz w:val="24"/>
          <w:szCs w:val="24"/>
        </w:rPr>
        <w:t xml:space="preserve"> beni di consumo, acquisto servizi strumentali) e indiretti (ad esempio spese generali dell’organizzazione partner) riconducibili alla realizzazione di ciascun progetto troveranno copertura nel costo forfettario riconosciuto nella misura del 40% del costo del personale ammissibile. Sulla base del costo totale ammissibile del progetto, sarà quindi calcolato il contributo pubblico concesso per la realizzazione dello stesso.</w:t>
      </w:r>
    </w:p>
    <w:p w14:paraId="2BADC97A" w14:textId="77777777" w:rsidR="00A308D8" w:rsidRPr="00755474" w:rsidRDefault="00A308D8" w:rsidP="00A308D8">
      <w:pPr>
        <w:jc w:val="both"/>
        <w:rPr>
          <w:rFonts w:ascii="Century Gothic" w:hAnsi="Century Gothic" w:cstheme="minorHAnsi"/>
          <w:b/>
          <w:bCs/>
          <w:sz w:val="24"/>
          <w:szCs w:val="24"/>
        </w:rPr>
      </w:pPr>
      <w:r w:rsidRPr="00755474">
        <w:rPr>
          <w:rFonts w:ascii="Century Gothic" w:hAnsi="Century Gothic" w:cstheme="minorHAnsi"/>
          <w:b/>
          <w:bCs/>
          <w:sz w:val="24"/>
          <w:szCs w:val="24"/>
        </w:rPr>
        <w:t>Struttura generale del documento</w:t>
      </w:r>
    </w:p>
    <w:p w14:paraId="45170C09" w14:textId="3F0444CE" w:rsidR="00A308D8" w:rsidRPr="00755474" w:rsidRDefault="00A308D8" w:rsidP="00A308D8">
      <w:pPr>
        <w:jc w:val="both"/>
        <w:rPr>
          <w:rFonts w:ascii="Century Gothic" w:hAnsi="Century Gothic" w:cstheme="minorHAnsi"/>
          <w:sz w:val="24"/>
          <w:szCs w:val="24"/>
        </w:rPr>
      </w:pPr>
      <w:r w:rsidRPr="00755474">
        <w:rPr>
          <w:rFonts w:ascii="Century Gothic" w:hAnsi="Century Gothic" w:cstheme="minorHAnsi"/>
          <w:sz w:val="24"/>
          <w:szCs w:val="24"/>
        </w:rPr>
        <w:t xml:space="preserve">Il Piano dei Conti è organizzato in un file Excel articolato su tre fogli di lavoro interconnessi, ciascuno dedicato a specifiche tipologie di costi e informazioni progettuali. </w:t>
      </w:r>
    </w:p>
    <w:p w14:paraId="20359062" w14:textId="77777777" w:rsidR="00A308D8" w:rsidRPr="00755474" w:rsidRDefault="00A308D8" w:rsidP="00A308D8">
      <w:pPr>
        <w:jc w:val="both"/>
        <w:rPr>
          <w:rFonts w:ascii="Century Gothic" w:hAnsi="Century Gothic" w:cstheme="minorHAnsi"/>
          <w:sz w:val="24"/>
          <w:szCs w:val="24"/>
        </w:rPr>
      </w:pPr>
      <w:r w:rsidRPr="00755474">
        <w:rPr>
          <w:rFonts w:ascii="Century Gothic" w:hAnsi="Century Gothic" w:cstheme="minorHAnsi"/>
          <w:sz w:val="24"/>
          <w:szCs w:val="24"/>
        </w:rPr>
        <w:t xml:space="preserve">Il documento si compone del foglio "Intestazione", che raccoglie i dati identificativi del progetto e presenta il riepilogo economico complessivo, del foglio "Costi </w:t>
      </w:r>
      <w:proofErr w:type="spellStart"/>
      <w:r w:rsidRPr="00755474">
        <w:rPr>
          <w:rFonts w:ascii="Century Gothic" w:hAnsi="Century Gothic" w:cstheme="minorHAnsi"/>
          <w:sz w:val="24"/>
          <w:szCs w:val="24"/>
        </w:rPr>
        <w:t>personale_altri</w:t>
      </w:r>
      <w:proofErr w:type="spellEnd"/>
      <w:r w:rsidRPr="00755474">
        <w:rPr>
          <w:rFonts w:ascii="Century Gothic" w:hAnsi="Century Gothic" w:cstheme="minorHAnsi"/>
          <w:sz w:val="24"/>
          <w:szCs w:val="24"/>
        </w:rPr>
        <w:t xml:space="preserve"> costi", destinato al dettaglio analitico delle risorse umane impiegate, e del foglio "Indennità", dedicato alla quantificazione degli importi da destinare a tirocini e formazione dei partecipanti.</w:t>
      </w:r>
    </w:p>
    <w:p w14:paraId="41F0D4A5" w14:textId="77777777" w:rsidR="00A308D8" w:rsidRPr="00755474" w:rsidRDefault="00A308D8" w:rsidP="00A308D8">
      <w:pPr>
        <w:jc w:val="both"/>
        <w:rPr>
          <w:rFonts w:ascii="Century Gothic" w:hAnsi="Century Gothic" w:cstheme="minorHAnsi"/>
          <w:b/>
          <w:bCs/>
          <w:sz w:val="24"/>
          <w:szCs w:val="24"/>
        </w:rPr>
      </w:pPr>
      <w:r w:rsidRPr="00755474">
        <w:rPr>
          <w:rFonts w:ascii="Century Gothic" w:hAnsi="Century Gothic" w:cstheme="minorHAnsi"/>
          <w:b/>
          <w:bCs/>
          <w:sz w:val="24"/>
          <w:szCs w:val="24"/>
        </w:rPr>
        <w:t>Modalità di compilazione del foglio Intestazione</w:t>
      </w:r>
    </w:p>
    <w:p w14:paraId="4F1A9E00" w14:textId="77777777" w:rsidR="00A308D8" w:rsidRPr="00755474" w:rsidRDefault="00A308D8" w:rsidP="00A308D8">
      <w:pPr>
        <w:jc w:val="both"/>
        <w:rPr>
          <w:rFonts w:ascii="Century Gothic" w:hAnsi="Century Gothic" w:cstheme="minorHAnsi"/>
          <w:sz w:val="24"/>
          <w:szCs w:val="24"/>
        </w:rPr>
      </w:pPr>
      <w:r w:rsidRPr="00755474">
        <w:rPr>
          <w:rFonts w:ascii="Century Gothic" w:hAnsi="Century Gothic" w:cstheme="minorHAnsi"/>
          <w:sz w:val="24"/>
          <w:szCs w:val="24"/>
        </w:rPr>
        <w:t>La compilazione del foglio Intestazione deve iniziare dall'inserimento delle informazioni identificative del progetto. Nella sezione superiore del foglio è necessario riportare l'ID Progetto, ovvero il codice identificativo univoco assegnato al progetto, seguito dal Titolo completo dell'iniziativa e dall'indicazione del Soggetto capofila, inteso come l'ente o organizzazione che assume il ruolo di coordinamento del partenariato.</w:t>
      </w:r>
    </w:p>
    <w:p w14:paraId="4B2C3A98" w14:textId="77777777" w:rsidR="00A308D8" w:rsidRPr="00755474" w:rsidRDefault="00A308D8" w:rsidP="00A308D8">
      <w:pPr>
        <w:jc w:val="both"/>
        <w:rPr>
          <w:rFonts w:ascii="Century Gothic" w:hAnsi="Century Gothic" w:cstheme="minorHAnsi"/>
          <w:sz w:val="24"/>
          <w:szCs w:val="24"/>
        </w:rPr>
      </w:pPr>
      <w:r w:rsidRPr="00755474">
        <w:rPr>
          <w:rFonts w:ascii="Century Gothic" w:hAnsi="Century Gothic" w:cstheme="minorHAnsi"/>
          <w:sz w:val="24"/>
          <w:szCs w:val="24"/>
        </w:rPr>
        <w:t>La sezione centrale del foglio presenta il riepilogo economico del progetto, dove confluiscono automaticamente i dati inseriti negli altri fogli di lavoro. Il "Totale costi diretti per il personale" si genera automaticamente dalla sommatoria dei costi dettagliati nel secondo foglio, mentre le voci "Indennità versate ai partecipanti" e "Indennità di tirocinio" riflettono gli importi specificati nel terzo foglio. La voce "Altri costi" viene calcolata automaticamente applicando la percentuale del 40% al totale dei costi diretti per il personale, in conformità ai parametri normativi vigenti.</w:t>
      </w:r>
    </w:p>
    <w:p w14:paraId="7AD0B5D4" w14:textId="77777777" w:rsidR="00A308D8" w:rsidRPr="00755474" w:rsidRDefault="00A308D8" w:rsidP="00A308D8">
      <w:pPr>
        <w:jc w:val="both"/>
        <w:rPr>
          <w:rFonts w:ascii="Century Gothic" w:hAnsi="Century Gothic" w:cstheme="minorHAnsi"/>
          <w:sz w:val="24"/>
          <w:szCs w:val="24"/>
        </w:rPr>
      </w:pPr>
      <w:r w:rsidRPr="00755474">
        <w:rPr>
          <w:rFonts w:ascii="Century Gothic" w:hAnsi="Century Gothic" w:cstheme="minorHAnsi"/>
          <w:sz w:val="24"/>
          <w:szCs w:val="24"/>
        </w:rPr>
        <w:lastRenderedPageBreak/>
        <w:t>Nella sezione inferiore viene presentata la distribuzione del contributo, dove la percentuale del contributo pubblico richiesto è fissata all'80% del totale dei costi ammissibili, mentre il cofinanziamento dei partner effettivi deve rappresentare almeno il 20% del costo totale ammissibile. Questi valori percentuali sono preimpostati e gli importi corrispondenti vengono calcolati automaticamente dal sistema.</w:t>
      </w:r>
    </w:p>
    <w:p w14:paraId="33DC7356" w14:textId="77777777" w:rsidR="00A308D8" w:rsidRPr="00755474" w:rsidRDefault="00A308D8" w:rsidP="00A308D8">
      <w:pPr>
        <w:jc w:val="both"/>
        <w:rPr>
          <w:rFonts w:ascii="Century Gothic" w:hAnsi="Century Gothic" w:cstheme="minorHAnsi"/>
          <w:b/>
          <w:bCs/>
          <w:sz w:val="24"/>
          <w:szCs w:val="24"/>
        </w:rPr>
      </w:pPr>
      <w:r w:rsidRPr="00755474">
        <w:rPr>
          <w:rFonts w:ascii="Century Gothic" w:hAnsi="Century Gothic" w:cstheme="minorHAnsi"/>
          <w:b/>
          <w:bCs/>
          <w:sz w:val="24"/>
          <w:szCs w:val="24"/>
        </w:rPr>
        <w:t xml:space="preserve">Compilazione del foglio Costi </w:t>
      </w:r>
      <w:proofErr w:type="spellStart"/>
      <w:r w:rsidRPr="00755474">
        <w:rPr>
          <w:rFonts w:ascii="Century Gothic" w:hAnsi="Century Gothic" w:cstheme="minorHAnsi"/>
          <w:b/>
          <w:bCs/>
          <w:sz w:val="24"/>
          <w:szCs w:val="24"/>
        </w:rPr>
        <w:t>personale_altri</w:t>
      </w:r>
      <w:proofErr w:type="spellEnd"/>
      <w:r w:rsidRPr="00755474">
        <w:rPr>
          <w:rFonts w:ascii="Century Gothic" w:hAnsi="Century Gothic" w:cstheme="minorHAnsi"/>
          <w:b/>
          <w:bCs/>
          <w:sz w:val="24"/>
          <w:szCs w:val="24"/>
        </w:rPr>
        <w:t xml:space="preserve"> costi</w:t>
      </w:r>
    </w:p>
    <w:p w14:paraId="2B4184AF" w14:textId="77777777" w:rsidR="00A308D8" w:rsidRPr="00755474" w:rsidRDefault="00A308D8" w:rsidP="00A308D8">
      <w:pPr>
        <w:jc w:val="both"/>
        <w:rPr>
          <w:rFonts w:ascii="Century Gothic" w:hAnsi="Century Gothic" w:cstheme="minorHAnsi"/>
          <w:sz w:val="24"/>
          <w:szCs w:val="24"/>
        </w:rPr>
      </w:pPr>
      <w:r w:rsidRPr="00755474">
        <w:rPr>
          <w:rFonts w:ascii="Century Gothic" w:hAnsi="Century Gothic" w:cstheme="minorHAnsi"/>
          <w:sz w:val="24"/>
          <w:szCs w:val="24"/>
        </w:rPr>
        <w:t>Il secondo foglio richiede un'analisi dettagliata delle risorse umane che verranno impiegate nel progetto, distinguendo tra personale interno e personale esterno. Per ciascuna risorsa di personale interno è necessario specificare le fasi del progetto nelle quali sarà coinvolta, identificare chiaramente il partner di appartenenza e definire il profilo professionale della risorsa, inteso come ruolo e qualifica posseduta.</w:t>
      </w:r>
    </w:p>
    <w:p w14:paraId="0B8BEA45" w14:textId="77777777" w:rsidR="00A308D8" w:rsidRPr="00755474" w:rsidRDefault="00A308D8" w:rsidP="00A308D8">
      <w:pPr>
        <w:jc w:val="both"/>
        <w:rPr>
          <w:rFonts w:ascii="Century Gothic" w:hAnsi="Century Gothic" w:cstheme="minorHAnsi"/>
          <w:sz w:val="24"/>
          <w:szCs w:val="24"/>
        </w:rPr>
      </w:pPr>
      <w:r w:rsidRPr="00755474">
        <w:rPr>
          <w:rFonts w:ascii="Century Gothic" w:hAnsi="Century Gothic" w:cstheme="minorHAnsi"/>
          <w:sz w:val="24"/>
          <w:szCs w:val="24"/>
        </w:rPr>
        <w:t>Particolare attenzione deve essere dedicata alla definizione del ruolo specifico che la risorsa svolgerà all'interno del progetto, seguita dall'indicazione del Contratto Collettivo Nazionale di Lavoro applicato e del corrispondente livello contrattuale. La percentuale di impiego deve essere espressa in termini di part-time, dove il 100% corrisponde al tempo pieno, mentre il costo azienda rappresenta il costo annuo complessivo della risorsa per l'organizzazione.</w:t>
      </w:r>
    </w:p>
    <w:p w14:paraId="11A7117E" w14:textId="26A0F2D4" w:rsidR="00A308D8" w:rsidRPr="00755474" w:rsidRDefault="00A308D8" w:rsidP="00A308D8">
      <w:pPr>
        <w:jc w:val="both"/>
        <w:rPr>
          <w:rFonts w:ascii="Century Gothic" w:hAnsi="Century Gothic" w:cstheme="minorHAnsi"/>
          <w:sz w:val="24"/>
          <w:szCs w:val="24"/>
        </w:rPr>
      </w:pPr>
      <w:r w:rsidRPr="00755474">
        <w:rPr>
          <w:rFonts w:ascii="Century Gothic" w:hAnsi="Century Gothic" w:cstheme="minorHAnsi"/>
          <w:sz w:val="24"/>
          <w:szCs w:val="24"/>
        </w:rPr>
        <w:t>Il sistema calcola automaticamente il costo orario dividendo il costo azienda per le ore lavorative standard</w:t>
      </w:r>
      <w:r w:rsidR="00700B77" w:rsidRPr="00755474">
        <w:rPr>
          <w:rFonts w:ascii="Century Gothic" w:hAnsi="Century Gothic" w:cstheme="minorHAnsi"/>
          <w:sz w:val="24"/>
          <w:szCs w:val="24"/>
        </w:rPr>
        <w:t xml:space="preserve"> (1.720)</w:t>
      </w:r>
      <w:r w:rsidRPr="00755474">
        <w:rPr>
          <w:rFonts w:ascii="Century Gothic" w:hAnsi="Century Gothic" w:cstheme="minorHAnsi"/>
          <w:sz w:val="24"/>
          <w:szCs w:val="24"/>
        </w:rPr>
        <w:t>, permettendo poi di determinare il costo totale moltiplicando il costo orario per il numero di ore previste per il progetto. È fondamentale inserire con precisione il numero di ore attese, in quanto questo dato influenza direttamente l'importo finale dei costi di personale.</w:t>
      </w:r>
    </w:p>
    <w:p w14:paraId="5156B9A2" w14:textId="77777777" w:rsidR="00A308D8" w:rsidRPr="00755474" w:rsidRDefault="00A308D8" w:rsidP="00A308D8">
      <w:pPr>
        <w:jc w:val="both"/>
        <w:rPr>
          <w:rFonts w:ascii="Century Gothic" w:hAnsi="Century Gothic" w:cstheme="minorHAnsi"/>
          <w:sz w:val="24"/>
          <w:szCs w:val="24"/>
        </w:rPr>
      </w:pPr>
      <w:r w:rsidRPr="00755474">
        <w:rPr>
          <w:rFonts w:ascii="Century Gothic" w:hAnsi="Century Gothic" w:cstheme="minorHAnsi"/>
          <w:sz w:val="24"/>
          <w:szCs w:val="24"/>
        </w:rPr>
        <w:t>Per quanto riguarda il personale esterno, la procedura di compilazione segue una logica simile ma semplificata. È necessario indicare le fasi progettuali di coinvolgimento, il partner responsabile dell'ingaggio, il profilo professionale del consulente o collaboratore esterno e il ruolo specifico nel progetto. In questo caso, invece del costo azienda, deve essere inserito direttamente il costo orario concordato, seguito dal numero di ore previste per ottenere il calcolo automatico del costo totale.</w:t>
      </w:r>
    </w:p>
    <w:p w14:paraId="071C51CC" w14:textId="77777777" w:rsidR="00A308D8" w:rsidRPr="00755474" w:rsidRDefault="00A308D8" w:rsidP="00A308D8">
      <w:pPr>
        <w:jc w:val="both"/>
        <w:rPr>
          <w:rFonts w:ascii="Century Gothic" w:hAnsi="Century Gothic" w:cstheme="minorHAnsi"/>
          <w:b/>
          <w:bCs/>
          <w:sz w:val="24"/>
          <w:szCs w:val="24"/>
        </w:rPr>
      </w:pPr>
      <w:r w:rsidRPr="00755474">
        <w:rPr>
          <w:rFonts w:ascii="Century Gothic" w:hAnsi="Century Gothic" w:cstheme="minorHAnsi"/>
          <w:b/>
          <w:bCs/>
          <w:sz w:val="24"/>
          <w:szCs w:val="24"/>
        </w:rPr>
        <w:t>Gestione del foglio Indennità</w:t>
      </w:r>
    </w:p>
    <w:p w14:paraId="647ABFB2" w14:textId="77777777" w:rsidR="00A308D8" w:rsidRPr="00755474" w:rsidRDefault="00A308D8" w:rsidP="00A308D8">
      <w:pPr>
        <w:jc w:val="both"/>
        <w:rPr>
          <w:rFonts w:ascii="Century Gothic" w:hAnsi="Century Gothic" w:cstheme="minorHAnsi"/>
          <w:sz w:val="24"/>
          <w:szCs w:val="24"/>
        </w:rPr>
      </w:pPr>
      <w:r w:rsidRPr="00755474">
        <w:rPr>
          <w:rFonts w:ascii="Century Gothic" w:hAnsi="Century Gothic" w:cstheme="minorHAnsi"/>
          <w:sz w:val="24"/>
          <w:szCs w:val="24"/>
        </w:rPr>
        <w:t>Il terzo foglio è dedicato alla quantificazione degli importi destinati ai tirocini extracurriculari e alle indennità per i partecipanti alle attività formative. La sezione relativa ai tirocini extracurriculari presenta un massimale predefinito di 6.000 euro per periodo di bando, entro il quale devono essere pianificati gli interventi formativi.</w:t>
      </w:r>
    </w:p>
    <w:p w14:paraId="5418FF88" w14:textId="77777777" w:rsidR="00A308D8" w:rsidRPr="00755474" w:rsidRDefault="00A308D8" w:rsidP="00A308D8">
      <w:pPr>
        <w:jc w:val="both"/>
        <w:rPr>
          <w:rFonts w:ascii="Century Gothic" w:hAnsi="Century Gothic" w:cstheme="minorHAnsi"/>
          <w:sz w:val="24"/>
          <w:szCs w:val="24"/>
        </w:rPr>
      </w:pPr>
      <w:r w:rsidRPr="00755474">
        <w:rPr>
          <w:rFonts w:ascii="Century Gothic" w:hAnsi="Century Gothic" w:cstheme="minorHAnsi"/>
          <w:sz w:val="24"/>
          <w:szCs w:val="24"/>
        </w:rPr>
        <w:t>È necessario specificare il numero di tirocini previsti e calcolare il totale richiesto, assicurandosi che l'importo non superi il massimale stabilito. Per la gestione delle indennità versate ai partecipanti, il sistema prevede un valore orario fisso di 5 euro e un massimale di 750 euro per periodo di bando per ciascun partecipante.</w:t>
      </w:r>
    </w:p>
    <w:p w14:paraId="5E0FE583" w14:textId="77777777" w:rsidR="00A308D8" w:rsidRPr="00755474" w:rsidRDefault="00A308D8" w:rsidP="00A308D8">
      <w:pPr>
        <w:jc w:val="both"/>
        <w:rPr>
          <w:rFonts w:ascii="Century Gothic" w:hAnsi="Century Gothic" w:cstheme="minorHAnsi"/>
          <w:sz w:val="24"/>
          <w:szCs w:val="24"/>
        </w:rPr>
      </w:pPr>
      <w:r w:rsidRPr="00755474">
        <w:rPr>
          <w:rFonts w:ascii="Century Gothic" w:hAnsi="Century Gothic" w:cstheme="minorHAnsi"/>
          <w:sz w:val="24"/>
          <w:szCs w:val="24"/>
        </w:rPr>
        <w:lastRenderedPageBreak/>
        <w:t>Nella tabella finale del foglio deve essere indicato, per ciascuna tipologia di intervento formativo, il partner responsabile dell'attività, il numero di partecipanti previsti e le ore di formazione programmate. Il sistema calcola automaticamente il totale richiesto moltiplicando i partecipanti per le ore e per il valore orario prestabilito.</w:t>
      </w:r>
    </w:p>
    <w:p w14:paraId="22E4BC04" w14:textId="77777777" w:rsidR="00A308D8" w:rsidRPr="00755474" w:rsidRDefault="00A308D8" w:rsidP="00A308D8">
      <w:pPr>
        <w:jc w:val="both"/>
        <w:rPr>
          <w:rFonts w:ascii="Century Gothic" w:hAnsi="Century Gothic" w:cstheme="minorHAnsi"/>
          <w:b/>
          <w:bCs/>
          <w:sz w:val="24"/>
          <w:szCs w:val="24"/>
        </w:rPr>
      </w:pPr>
      <w:r w:rsidRPr="00755474">
        <w:rPr>
          <w:rFonts w:ascii="Century Gothic" w:hAnsi="Century Gothic" w:cstheme="minorHAnsi"/>
          <w:b/>
          <w:bCs/>
          <w:sz w:val="24"/>
          <w:szCs w:val="24"/>
        </w:rPr>
        <w:t>Verifiche e controlli finali</w:t>
      </w:r>
    </w:p>
    <w:p w14:paraId="3C0DAEBC" w14:textId="77777777" w:rsidR="00A308D8" w:rsidRPr="00755474" w:rsidRDefault="00A308D8" w:rsidP="00A308D8">
      <w:pPr>
        <w:jc w:val="both"/>
        <w:rPr>
          <w:rFonts w:ascii="Century Gothic" w:hAnsi="Century Gothic" w:cstheme="minorHAnsi"/>
          <w:sz w:val="24"/>
          <w:szCs w:val="24"/>
        </w:rPr>
      </w:pPr>
      <w:r w:rsidRPr="00755474">
        <w:rPr>
          <w:rFonts w:ascii="Century Gothic" w:hAnsi="Century Gothic" w:cstheme="minorHAnsi"/>
          <w:sz w:val="24"/>
          <w:szCs w:val="24"/>
        </w:rPr>
        <w:t>Al termine della compilazione è indispensabile effettuare una verifica complessiva della coerenza dei dati inseriti. I totali riportati nel foglio Intestazione devono corrispondere esattamente alla sommatoria dei dettagli inseriti negli altri fogli, mentre tutti i calcoli automatici devono essere verificati per assicurarsi che non siano stati accidentalmente sovrascritti durante la compilazione.</w:t>
      </w:r>
    </w:p>
    <w:p w14:paraId="73F52E7F" w14:textId="77777777" w:rsidR="00A308D8" w:rsidRPr="00755474" w:rsidRDefault="00A308D8" w:rsidP="00A308D8">
      <w:pPr>
        <w:jc w:val="both"/>
        <w:rPr>
          <w:rFonts w:ascii="Century Gothic" w:hAnsi="Century Gothic" w:cstheme="minorHAnsi"/>
          <w:sz w:val="24"/>
          <w:szCs w:val="24"/>
        </w:rPr>
      </w:pPr>
      <w:r w:rsidRPr="00755474">
        <w:rPr>
          <w:rFonts w:ascii="Century Gothic" w:hAnsi="Century Gothic" w:cstheme="minorHAnsi"/>
          <w:sz w:val="24"/>
          <w:szCs w:val="24"/>
        </w:rPr>
        <w:t>È particolarmente importante controllare che la percentuale di cofinanziamento rispetti il vincolo minimo del 20% del costo totale ammissibile e che tutti i massimali previsti per le indennità non vengano superati. La corretta identificazione di tutti i partner coinvolti nel progetto deve essere verificata trasversalmente su tutti i fogli per garantire la coerenza delle informazioni.</w:t>
      </w:r>
    </w:p>
    <w:p w14:paraId="2005B3ED" w14:textId="77777777" w:rsidR="00A308D8" w:rsidRPr="00755474" w:rsidRDefault="00A308D8" w:rsidP="00A308D8">
      <w:pPr>
        <w:jc w:val="both"/>
        <w:rPr>
          <w:rFonts w:ascii="Century Gothic" w:hAnsi="Century Gothic" w:cstheme="minorHAnsi"/>
          <w:sz w:val="24"/>
          <w:szCs w:val="24"/>
        </w:rPr>
      </w:pPr>
      <w:r w:rsidRPr="00755474">
        <w:rPr>
          <w:rFonts w:ascii="Century Gothic" w:hAnsi="Century Gothic" w:cstheme="minorHAnsi"/>
          <w:sz w:val="24"/>
          <w:szCs w:val="24"/>
        </w:rPr>
        <w:t>Il documento completato costituisce parte integrante della documentazione di progetto e deve riflettere accuratamente la pianificazione economica dell'iniziativa, fornendo una base solida per la valutazione della sostenibilità finanziaria e dell'appropriatezza delle risorse richieste.</w:t>
      </w:r>
    </w:p>
    <w:sectPr w:rsidR="00A308D8" w:rsidRPr="00755474" w:rsidSect="00AD6086">
      <w:headerReference w:type="even" r:id="rId7"/>
      <w:headerReference w:type="default" r:id="rId8"/>
      <w:footerReference w:type="even" r:id="rId9"/>
      <w:footerReference w:type="default" r:id="rId10"/>
      <w:headerReference w:type="first" r:id="rId11"/>
      <w:footerReference w:type="first" r:id="rId12"/>
      <w:pgSz w:w="11906" w:h="16838"/>
      <w:pgMar w:top="1417" w:right="1134" w:bottom="851" w:left="1134" w:header="708"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9CD73" w14:textId="77777777" w:rsidR="00647ABA" w:rsidRDefault="00647ABA" w:rsidP="00FE6866">
      <w:pPr>
        <w:spacing w:after="0" w:line="240" w:lineRule="auto"/>
      </w:pPr>
      <w:r>
        <w:separator/>
      </w:r>
    </w:p>
  </w:endnote>
  <w:endnote w:type="continuationSeparator" w:id="0">
    <w:p w14:paraId="296559A8" w14:textId="77777777" w:rsidR="00647ABA" w:rsidRDefault="00647ABA" w:rsidP="00FE6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9FDF6" w14:textId="77777777" w:rsidR="00A11661" w:rsidRDefault="00A1166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793325"/>
      <w:docPartObj>
        <w:docPartGallery w:val="Page Numbers (Bottom of Page)"/>
        <w:docPartUnique/>
      </w:docPartObj>
    </w:sdtPr>
    <w:sdtEndPr/>
    <w:sdtContent>
      <w:p w14:paraId="67D46FED" w14:textId="77777777" w:rsidR="00C833E1" w:rsidRDefault="00C833E1">
        <w:pPr>
          <w:pStyle w:val="Pidipagina"/>
          <w:jc w:val="center"/>
        </w:pPr>
      </w:p>
      <w:p w14:paraId="72A7EA0F" w14:textId="3EA8ABD2" w:rsidR="009F4662" w:rsidRDefault="009F4662">
        <w:pPr>
          <w:pStyle w:val="Pidipagina"/>
          <w:jc w:val="center"/>
        </w:pPr>
        <w:r>
          <w:fldChar w:fldCharType="begin"/>
        </w:r>
        <w:r>
          <w:instrText>PAGE   \* MERGEFORMAT</w:instrText>
        </w:r>
        <w:r>
          <w:fldChar w:fldCharType="separate"/>
        </w:r>
        <w:r>
          <w:t>2</w:t>
        </w:r>
        <w:r>
          <w:fldChar w:fldCharType="end"/>
        </w:r>
      </w:p>
    </w:sdtContent>
  </w:sdt>
  <w:p w14:paraId="3E45ACC4" w14:textId="77777777" w:rsidR="005E4980" w:rsidRDefault="005E498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2D5C2" w14:textId="77777777" w:rsidR="00A11661" w:rsidRDefault="00A1166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EB089" w14:textId="77777777" w:rsidR="00647ABA" w:rsidRDefault="00647ABA" w:rsidP="00FE6866">
      <w:pPr>
        <w:spacing w:after="0" w:line="240" w:lineRule="auto"/>
      </w:pPr>
      <w:r>
        <w:separator/>
      </w:r>
    </w:p>
  </w:footnote>
  <w:footnote w:type="continuationSeparator" w:id="0">
    <w:p w14:paraId="26C9E087" w14:textId="77777777" w:rsidR="00647ABA" w:rsidRDefault="00647ABA" w:rsidP="00FE68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12148" w14:textId="77777777" w:rsidR="00A11661" w:rsidRDefault="00A1166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B177B" w14:textId="0D988697" w:rsidR="00FE6866" w:rsidRPr="00866CDA" w:rsidRDefault="00A11661" w:rsidP="00F21F09">
    <w:pPr>
      <w:pStyle w:val="Intestazione"/>
      <w:jc w:val="right"/>
      <w:rPr>
        <w:rFonts w:ascii="Century Gothic" w:hAnsi="Century Gothic"/>
      </w:rPr>
    </w:pPr>
    <w:r>
      <w:rPr>
        <w:rFonts w:ascii="Century Gothic" w:hAnsi="Century Gothic"/>
      </w:rPr>
      <w:t>ALLEGATO</w:t>
    </w:r>
    <w:r w:rsidR="00866CDA">
      <w:rPr>
        <w:rFonts w:ascii="Century Gothic" w:hAnsi="Century Gothic"/>
      </w:rPr>
      <w:t xml:space="preserve"> A</w:t>
    </w:r>
    <w:r w:rsidR="001E25C6">
      <w:rPr>
        <w:rFonts w:ascii="Century Gothic" w:hAnsi="Century Gothic"/>
      </w:rPr>
      <w:t>.</w:t>
    </w:r>
    <w:r w:rsidR="00412C31">
      <w:rPr>
        <w:rFonts w:ascii="Century Gothic" w:hAnsi="Century Gothic"/>
      </w:rPr>
      <w:t>6</w:t>
    </w:r>
    <w:r w:rsidR="008375A2">
      <w:rPr>
        <w:rFonts w:ascii="Century Gothic" w:hAnsi="Century Gothic"/>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FC4FA" w14:textId="77777777" w:rsidR="00A11661" w:rsidRDefault="00A11661">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090"/>
    <w:rsid w:val="00012A66"/>
    <w:rsid w:val="00032F1B"/>
    <w:rsid w:val="000628CD"/>
    <w:rsid w:val="0008279C"/>
    <w:rsid w:val="000D6A32"/>
    <w:rsid w:val="000E00E0"/>
    <w:rsid w:val="000F2DD7"/>
    <w:rsid w:val="0011325F"/>
    <w:rsid w:val="0011645C"/>
    <w:rsid w:val="00142A1F"/>
    <w:rsid w:val="001D2CFF"/>
    <w:rsid w:val="001E25C6"/>
    <w:rsid w:val="00205DCF"/>
    <w:rsid w:val="00237239"/>
    <w:rsid w:val="00291C30"/>
    <w:rsid w:val="002B498E"/>
    <w:rsid w:val="003102C9"/>
    <w:rsid w:val="00342805"/>
    <w:rsid w:val="00391E60"/>
    <w:rsid w:val="003A7BD6"/>
    <w:rsid w:val="003B56A5"/>
    <w:rsid w:val="003E759E"/>
    <w:rsid w:val="00411DCE"/>
    <w:rsid w:val="00412C31"/>
    <w:rsid w:val="00420572"/>
    <w:rsid w:val="00445EA6"/>
    <w:rsid w:val="00464E61"/>
    <w:rsid w:val="004C4D80"/>
    <w:rsid w:val="004F05C9"/>
    <w:rsid w:val="00514D4C"/>
    <w:rsid w:val="005179F0"/>
    <w:rsid w:val="005A0998"/>
    <w:rsid w:val="005A0C81"/>
    <w:rsid w:val="005E4980"/>
    <w:rsid w:val="005F54B4"/>
    <w:rsid w:val="00603FB6"/>
    <w:rsid w:val="00635F49"/>
    <w:rsid w:val="0063760E"/>
    <w:rsid w:val="00647ABA"/>
    <w:rsid w:val="006750D4"/>
    <w:rsid w:val="00687EA4"/>
    <w:rsid w:val="00690CA3"/>
    <w:rsid w:val="00696002"/>
    <w:rsid w:val="006B1F55"/>
    <w:rsid w:val="006B6911"/>
    <w:rsid w:val="007005C5"/>
    <w:rsid w:val="00700B77"/>
    <w:rsid w:val="00702594"/>
    <w:rsid w:val="00707E9D"/>
    <w:rsid w:val="00755474"/>
    <w:rsid w:val="00772D5D"/>
    <w:rsid w:val="007856FA"/>
    <w:rsid w:val="00785812"/>
    <w:rsid w:val="00791D9E"/>
    <w:rsid w:val="007B3B6C"/>
    <w:rsid w:val="007C1DF5"/>
    <w:rsid w:val="007D151F"/>
    <w:rsid w:val="007D372F"/>
    <w:rsid w:val="00807C78"/>
    <w:rsid w:val="008375A2"/>
    <w:rsid w:val="0085221B"/>
    <w:rsid w:val="00855E46"/>
    <w:rsid w:val="00861637"/>
    <w:rsid w:val="00866CDA"/>
    <w:rsid w:val="00892B4C"/>
    <w:rsid w:val="00904A86"/>
    <w:rsid w:val="00931258"/>
    <w:rsid w:val="009958E9"/>
    <w:rsid w:val="009B6C14"/>
    <w:rsid w:val="009E1C80"/>
    <w:rsid w:val="009F4662"/>
    <w:rsid w:val="00A042FA"/>
    <w:rsid w:val="00A076B4"/>
    <w:rsid w:val="00A11661"/>
    <w:rsid w:val="00A23046"/>
    <w:rsid w:val="00A308D8"/>
    <w:rsid w:val="00A34100"/>
    <w:rsid w:val="00A61C4F"/>
    <w:rsid w:val="00A63D8E"/>
    <w:rsid w:val="00A74A6D"/>
    <w:rsid w:val="00A948A6"/>
    <w:rsid w:val="00AC5D62"/>
    <w:rsid w:val="00AD6086"/>
    <w:rsid w:val="00AE37CC"/>
    <w:rsid w:val="00B41063"/>
    <w:rsid w:val="00B428D5"/>
    <w:rsid w:val="00C833E1"/>
    <w:rsid w:val="00C95D98"/>
    <w:rsid w:val="00CA2610"/>
    <w:rsid w:val="00CB3213"/>
    <w:rsid w:val="00CF6490"/>
    <w:rsid w:val="00D10AAC"/>
    <w:rsid w:val="00D15B09"/>
    <w:rsid w:val="00DB1228"/>
    <w:rsid w:val="00DB33AA"/>
    <w:rsid w:val="00DB4F60"/>
    <w:rsid w:val="00DF6CF8"/>
    <w:rsid w:val="00E04090"/>
    <w:rsid w:val="00E159DF"/>
    <w:rsid w:val="00E535CB"/>
    <w:rsid w:val="00E914D0"/>
    <w:rsid w:val="00E922B7"/>
    <w:rsid w:val="00E9391E"/>
    <w:rsid w:val="00EC0444"/>
    <w:rsid w:val="00F04F05"/>
    <w:rsid w:val="00F0784E"/>
    <w:rsid w:val="00F21F09"/>
    <w:rsid w:val="00F57CF8"/>
    <w:rsid w:val="00F63968"/>
    <w:rsid w:val="00F72892"/>
    <w:rsid w:val="00FA09A9"/>
    <w:rsid w:val="00FB3355"/>
    <w:rsid w:val="00FC1EFF"/>
    <w:rsid w:val="00FE6866"/>
    <w:rsid w:val="00FF25F5"/>
    <w:rsid w:val="01B892A2"/>
    <w:rsid w:val="07C93EA5"/>
    <w:rsid w:val="07F3B389"/>
    <w:rsid w:val="1135AF9A"/>
    <w:rsid w:val="1581769F"/>
    <w:rsid w:val="19EC4FD3"/>
    <w:rsid w:val="222823B3"/>
    <w:rsid w:val="2773945E"/>
    <w:rsid w:val="27FA9D93"/>
    <w:rsid w:val="28AAAD2D"/>
    <w:rsid w:val="2A340950"/>
    <w:rsid w:val="2CFD5189"/>
    <w:rsid w:val="2F6F2685"/>
    <w:rsid w:val="3457CD58"/>
    <w:rsid w:val="45DCFF19"/>
    <w:rsid w:val="48E20F72"/>
    <w:rsid w:val="4D380E5B"/>
    <w:rsid w:val="536599F4"/>
    <w:rsid w:val="67ADA4D0"/>
    <w:rsid w:val="6B1361FA"/>
    <w:rsid w:val="76D18D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3DB9B"/>
  <w15:chartTrackingRefBased/>
  <w15:docId w15:val="{50541CDB-4A5F-4D63-AEEE-9439A3BCD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E686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E6866"/>
  </w:style>
  <w:style w:type="paragraph" w:styleId="Pidipagina">
    <w:name w:val="footer"/>
    <w:basedOn w:val="Normale"/>
    <w:link w:val="PidipaginaCarattere"/>
    <w:uiPriority w:val="99"/>
    <w:unhideWhenUsed/>
    <w:rsid w:val="00FE686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E6866"/>
  </w:style>
  <w:style w:type="table" w:styleId="Grigliatabella">
    <w:name w:val="Table Grid"/>
    <w:basedOn w:val="Tabellanormale"/>
    <w:uiPriority w:val="39"/>
    <w:rsid w:val="00FC1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855E46"/>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55E46"/>
    <w:rPr>
      <w:sz w:val="20"/>
      <w:szCs w:val="20"/>
    </w:rPr>
  </w:style>
  <w:style w:type="character" w:styleId="Rimandonotaapidipagina">
    <w:name w:val="footnote reference"/>
    <w:basedOn w:val="Carpredefinitoparagrafo"/>
    <w:uiPriority w:val="99"/>
    <w:semiHidden/>
    <w:unhideWhenUsed/>
    <w:rsid w:val="00855E46"/>
    <w:rPr>
      <w:vertAlign w:val="superscript"/>
    </w:rPr>
  </w:style>
  <w:style w:type="paragraph" w:styleId="Revisione">
    <w:name w:val="Revision"/>
    <w:hidden/>
    <w:uiPriority w:val="99"/>
    <w:semiHidden/>
    <w:rsid w:val="003E759E"/>
    <w:pPr>
      <w:spacing w:after="0" w:line="240" w:lineRule="auto"/>
    </w:pPr>
  </w:style>
  <w:style w:type="character" w:styleId="Rimandocommento">
    <w:name w:val="annotation reference"/>
    <w:basedOn w:val="Carpredefinitoparagrafo"/>
    <w:uiPriority w:val="99"/>
    <w:semiHidden/>
    <w:unhideWhenUsed/>
    <w:rsid w:val="0085221B"/>
    <w:rPr>
      <w:sz w:val="16"/>
      <w:szCs w:val="16"/>
    </w:rPr>
  </w:style>
  <w:style w:type="paragraph" w:styleId="Testocommento">
    <w:name w:val="annotation text"/>
    <w:basedOn w:val="Normale"/>
    <w:link w:val="TestocommentoCarattere"/>
    <w:uiPriority w:val="99"/>
    <w:unhideWhenUsed/>
    <w:rsid w:val="0085221B"/>
    <w:pPr>
      <w:spacing w:line="240" w:lineRule="auto"/>
    </w:pPr>
    <w:rPr>
      <w:sz w:val="20"/>
      <w:szCs w:val="20"/>
    </w:rPr>
  </w:style>
  <w:style w:type="character" w:customStyle="1" w:styleId="TestocommentoCarattere">
    <w:name w:val="Testo commento Carattere"/>
    <w:basedOn w:val="Carpredefinitoparagrafo"/>
    <w:link w:val="Testocommento"/>
    <w:uiPriority w:val="99"/>
    <w:rsid w:val="0085221B"/>
    <w:rPr>
      <w:sz w:val="20"/>
      <w:szCs w:val="20"/>
    </w:rPr>
  </w:style>
  <w:style w:type="paragraph" w:styleId="Soggettocommento">
    <w:name w:val="annotation subject"/>
    <w:basedOn w:val="Testocommento"/>
    <w:next w:val="Testocommento"/>
    <w:link w:val="SoggettocommentoCarattere"/>
    <w:uiPriority w:val="99"/>
    <w:semiHidden/>
    <w:unhideWhenUsed/>
    <w:rsid w:val="0085221B"/>
    <w:rPr>
      <w:b/>
      <w:bCs/>
    </w:rPr>
  </w:style>
  <w:style w:type="character" w:customStyle="1" w:styleId="SoggettocommentoCarattere">
    <w:name w:val="Soggetto commento Carattere"/>
    <w:basedOn w:val="TestocommentoCarattere"/>
    <w:link w:val="Soggettocommento"/>
    <w:uiPriority w:val="99"/>
    <w:semiHidden/>
    <w:rsid w:val="0085221B"/>
    <w:rPr>
      <w:b/>
      <w:bCs/>
      <w:sz w:val="20"/>
      <w:szCs w:val="20"/>
    </w:rPr>
  </w:style>
  <w:style w:type="character" w:customStyle="1" w:styleId="Carpredefinitoparagrafo1">
    <w:name w:val="Car. predefinito paragrafo1"/>
    <w:rsid w:val="00DB3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114911">
      <w:bodyDiv w:val="1"/>
      <w:marLeft w:val="0"/>
      <w:marRight w:val="0"/>
      <w:marTop w:val="0"/>
      <w:marBottom w:val="0"/>
      <w:divBdr>
        <w:top w:val="none" w:sz="0" w:space="0" w:color="auto"/>
        <w:left w:val="none" w:sz="0" w:space="0" w:color="auto"/>
        <w:bottom w:val="none" w:sz="0" w:space="0" w:color="auto"/>
        <w:right w:val="none" w:sz="0" w:space="0" w:color="auto"/>
      </w:divBdr>
    </w:div>
    <w:div w:id="159882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1144</Words>
  <Characters>6521</Characters>
  <Application>Microsoft Office Word</Application>
  <DocSecurity>0</DocSecurity>
  <Lines>54</Lines>
  <Paragraphs>15</Paragraphs>
  <ScaleCrop>false</ScaleCrop>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User98</dc:creator>
  <cp:keywords/>
  <dc:description/>
  <cp:lastModifiedBy>Caterina Pedini</cp:lastModifiedBy>
  <cp:revision>27</cp:revision>
  <cp:lastPrinted>2024-01-23T13:55:00Z</cp:lastPrinted>
  <dcterms:created xsi:type="dcterms:W3CDTF">2024-01-22T20:03:00Z</dcterms:created>
  <dcterms:modified xsi:type="dcterms:W3CDTF">2025-07-24T09:25:00Z</dcterms:modified>
</cp:coreProperties>
</file>